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5E" w:rsidRDefault="00A10F5E" w:rsidP="00A10F5E">
      <w:pPr>
        <w:pStyle w:val="Bezmezer"/>
        <w:jc w:val="center"/>
        <w:rPr>
          <w:b/>
          <w:sz w:val="32"/>
          <w:szCs w:val="32"/>
        </w:rPr>
      </w:pPr>
      <w:r w:rsidRPr="007E36CA">
        <w:rPr>
          <w:b/>
          <w:sz w:val="32"/>
          <w:szCs w:val="32"/>
        </w:rPr>
        <w:t xml:space="preserve">Účelové určení a podmínky použití neinvestiční dotace  </w:t>
      </w:r>
    </w:p>
    <w:p w:rsidR="00A10F5E" w:rsidRDefault="00A10F5E" w:rsidP="00A10F5E">
      <w:pPr>
        <w:pStyle w:val="Bezmezer"/>
        <w:jc w:val="center"/>
        <w:rPr>
          <w:b/>
          <w:sz w:val="32"/>
          <w:szCs w:val="32"/>
        </w:rPr>
      </w:pPr>
    </w:p>
    <w:p w:rsidR="00A10F5E" w:rsidRDefault="00A10F5E" w:rsidP="00A10F5E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TALENT</w:t>
      </w:r>
    </w:p>
    <w:p w:rsidR="002D7344" w:rsidRDefault="002D7344" w:rsidP="002D734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(příloha ke smlouvám o zajištění turnajů)</w:t>
      </w:r>
    </w:p>
    <w:p w:rsidR="002D7344" w:rsidRDefault="002D7344" w:rsidP="00A10F5E">
      <w:pPr>
        <w:pStyle w:val="Bezmezer"/>
        <w:jc w:val="center"/>
        <w:rPr>
          <w:b/>
          <w:sz w:val="32"/>
          <w:szCs w:val="32"/>
        </w:rPr>
      </w:pPr>
    </w:p>
    <w:p w:rsidR="00626FAA" w:rsidRDefault="00626FAA" w:rsidP="00A10F5E">
      <w:pPr>
        <w:pStyle w:val="Bezmezer"/>
        <w:jc w:val="center"/>
        <w:rPr>
          <w:b/>
          <w:sz w:val="32"/>
          <w:szCs w:val="32"/>
        </w:rPr>
      </w:pPr>
    </w:p>
    <w:p w:rsidR="00626FAA" w:rsidRDefault="00626FAA" w:rsidP="00A10F5E">
      <w:pPr>
        <w:pStyle w:val="Bezmezer"/>
        <w:jc w:val="center"/>
        <w:rPr>
          <w:b/>
          <w:sz w:val="32"/>
          <w:szCs w:val="32"/>
        </w:rPr>
      </w:pPr>
    </w:p>
    <w:p w:rsidR="00A10F5E" w:rsidRPr="00BE5265" w:rsidRDefault="00A10F5E" w:rsidP="00BE5265">
      <w:pPr>
        <w:pStyle w:val="Bezmezer"/>
        <w:rPr>
          <w:sz w:val="24"/>
          <w:szCs w:val="24"/>
        </w:rPr>
      </w:pPr>
    </w:p>
    <w:p w:rsidR="00C91166" w:rsidRPr="002D7344" w:rsidRDefault="00C91166" w:rsidP="00BE5265">
      <w:pPr>
        <w:pStyle w:val="Bezmezer"/>
        <w:rPr>
          <w:sz w:val="24"/>
          <w:szCs w:val="24"/>
          <w:u w:val="single"/>
        </w:rPr>
      </w:pPr>
      <w:r w:rsidRPr="002D7344">
        <w:rPr>
          <w:sz w:val="24"/>
          <w:szCs w:val="24"/>
          <w:u w:val="single"/>
        </w:rPr>
        <w:t xml:space="preserve">Dotaci </w:t>
      </w:r>
      <w:r w:rsidR="00626FAA" w:rsidRPr="002D7344">
        <w:rPr>
          <w:b/>
          <w:sz w:val="24"/>
          <w:szCs w:val="24"/>
          <w:u w:val="single"/>
        </w:rPr>
        <w:t>LZE</w:t>
      </w:r>
      <w:r w:rsidRPr="002D7344">
        <w:rPr>
          <w:sz w:val="24"/>
          <w:szCs w:val="24"/>
          <w:u w:val="single"/>
        </w:rPr>
        <w:t xml:space="preserve"> použít pouze na:</w:t>
      </w:r>
    </w:p>
    <w:p w:rsidR="00626FAA" w:rsidRPr="00BE5265" w:rsidRDefault="00626FAA" w:rsidP="00BE5265">
      <w:pPr>
        <w:pStyle w:val="Bezmezer"/>
        <w:rPr>
          <w:sz w:val="24"/>
          <w:szCs w:val="24"/>
        </w:rPr>
      </w:pPr>
    </w:p>
    <w:p w:rsidR="00C91166" w:rsidRPr="00BE5265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BE5265">
        <w:rPr>
          <w:sz w:val="24"/>
          <w:szCs w:val="24"/>
        </w:rPr>
        <w:t xml:space="preserve">vybavení </w:t>
      </w:r>
      <w:r w:rsidRPr="00BE5265">
        <w:rPr>
          <w:sz w:val="24"/>
          <w:szCs w:val="24"/>
          <w:u w:val="single" w:color="000000"/>
        </w:rPr>
        <w:t>hmotným majetkem</w:t>
      </w:r>
      <w:r w:rsidRPr="00BE5265">
        <w:rPr>
          <w:sz w:val="24"/>
          <w:szCs w:val="24"/>
        </w:rPr>
        <w:t xml:space="preserve"> souvisejícím s plněním Vyhlášení Obsahového zaměření programu TALENT, jehož ocenění je nižší nebo rovno 40 tis. Kč, celkově však nejvýše do výše 25 % z poskytnuté dotace, celkově však souhrnně s písm. b) nejvýše do výše 25 % z poskytnuté dotace,</w:t>
      </w:r>
    </w:p>
    <w:p w:rsidR="00C91166" w:rsidRPr="00BE5265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BE5265">
        <w:rPr>
          <w:sz w:val="24"/>
          <w:szCs w:val="24"/>
        </w:rPr>
        <w:t xml:space="preserve">vybavení </w:t>
      </w:r>
      <w:r w:rsidRPr="00BE5265">
        <w:rPr>
          <w:sz w:val="24"/>
          <w:szCs w:val="24"/>
          <w:u w:val="single" w:color="000000"/>
        </w:rPr>
        <w:t xml:space="preserve">nehmotným </w:t>
      </w:r>
      <w:proofErr w:type="spellStart"/>
      <w:r w:rsidRPr="00BE5265">
        <w:rPr>
          <w:sz w:val="24"/>
          <w:szCs w:val="24"/>
          <w:u w:val="single" w:color="000000"/>
        </w:rPr>
        <w:t>maietkem</w:t>
      </w:r>
      <w:proofErr w:type="spellEnd"/>
      <w:r w:rsidRPr="00BE5265">
        <w:rPr>
          <w:sz w:val="24"/>
          <w:szCs w:val="24"/>
        </w:rPr>
        <w:t xml:space="preserve"> souvisejícím s plněním Obsahového zaměření programu TALENT, jehož ocenění je nižší nebo rovno 60 tis. Kč, celkově však souhrnně s písm. a) nejvýše do výše 25 % z poskytnuté dotace,</w:t>
      </w:r>
    </w:p>
    <w:p w:rsidR="00C91166" w:rsidRPr="00BE5265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BE5265">
        <w:rPr>
          <w:sz w:val="24"/>
          <w:szCs w:val="24"/>
          <w:u w:val="single" w:color="000000"/>
        </w:rPr>
        <w:t>cestovné</w:t>
      </w:r>
      <w:r w:rsidRPr="00BE5265">
        <w:rPr>
          <w:sz w:val="24"/>
          <w:szCs w:val="24"/>
        </w:rPr>
        <w:t>: úhrada nákladů na dopravu osob (sportovců, trenérů a členů realizačního týmu) včetně víz, zvířat a materiálu do místa konání akce i v místě konání akce,</w:t>
      </w:r>
    </w:p>
    <w:p w:rsidR="00C91166" w:rsidRPr="00BE5265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BE5265">
        <w:rPr>
          <w:sz w:val="24"/>
          <w:szCs w:val="24"/>
          <w:u w:val="single" w:color="000000"/>
        </w:rPr>
        <w:t>další služby</w:t>
      </w:r>
      <w:r w:rsidRPr="00BE5265">
        <w:rPr>
          <w:sz w:val="24"/>
          <w:szCs w:val="24"/>
        </w:rPr>
        <w:t>: služby trenérů, úhrada nákladů na ubytování, stravování (včetně nákladů na zkvalitnění stravy), regeneraci, zdravotní zabezpečení sportovců a realizačního týmu v rámci systému sportovně talentované mládeže, technický servis a nájemné prostor pro zabezpečení sportovní přípravy talentované mládeže, úhrada nákladů sportovců a realizačního týmu na standardní úrazové a cestovní pojištění, pojištění odpovědnosti, léčebné náklady v zahraničí, pojištění sportovních potřeb a sportovního materiálu,</w:t>
      </w:r>
    </w:p>
    <w:p w:rsidR="00C91166" w:rsidRPr="00BE5265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proofErr w:type="gramStart"/>
      <w:r w:rsidRPr="00BE5265">
        <w:rPr>
          <w:sz w:val="24"/>
          <w:szCs w:val="24"/>
          <w:u w:val="single" w:color="000000"/>
        </w:rPr>
        <w:t>ostatní</w:t>
      </w:r>
      <w:r w:rsidRPr="00BE5265">
        <w:rPr>
          <w:sz w:val="24"/>
          <w:szCs w:val="24"/>
        </w:rPr>
        <w:t xml:space="preserve"> - odměny</w:t>
      </w:r>
      <w:proofErr w:type="gramEnd"/>
      <w:r w:rsidRPr="00BE5265">
        <w:rPr>
          <w:sz w:val="24"/>
          <w:szCs w:val="24"/>
        </w:rPr>
        <w:t xml:space="preserve"> za sportovní výsledky a poplatky za telekomunikační služby související s Obsahovým zaměřením programu a další služby bezprostředně spojené se sportovní přípravou talentované mládeže, jejichž součet nesmí přesáhnout výši 10 % z poskytnuté dotace,</w:t>
      </w:r>
    </w:p>
    <w:p w:rsidR="00C91166" w:rsidRPr="00BE5265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BE5265">
        <w:rPr>
          <w:sz w:val="24"/>
          <w:szCs w:val="24"/>
          <w:u w:val="single" w:color="000000"/>
        </w:rPr>
        <w:t>osobní / mzdové náklady</w:t>
      </w:r>
      <w:r w:rsidRPr="00BE5265">
        <w:rPr>
          <w:sz w:val="24"/>
          <w:szCs w:val="24"/>
        </w:rPr>
        <w:t xml:space="preserve"> je možné čerpat s limitem do 45 tis. Kč na osobu a měsíc, ostatní osobní náklady — DPP a DPČ a taktéž náklady na služby trenérů (OSVČ) se řídí taktéž tímto limitem. Z dotace lze hradit i související povinné zákonné odvody zaměstnavatele, které nejsou do výše limitu zahrnuty.</w:t>
      </w:r>
    </w:p>
    <w:p w:rsidR="00C91166" w:rsidRPr="00626FAA" w:rsidRDefault="00C91166" w:rsidP="00626FAA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626FAA">
        <w:rPr>
          <w:sz w:val="24"/>
          <w:szCs w:val="24"/>
          <w:u w:val="single" w:color="000000"/>
        </w:rPr>
        <w:t>daň z přidané hodnoty</w:t>
      </w:r>
      <w:r w:rsidRPr="00626FAA">
        <w:rPr>
          <w:sz w:val="24"/>
          <w:szCs w:val="24"/>
        </w:rPr>
        <w:t xml:space="preserve"> související s výdaji vynaloženými na plnění Obsahového zaměření programu TALENT, </w:t>
      </w:r>
      <w:r w:rsidRPr="00626FAA">
        <w:rPr>
          <w:sz w:val="24"/>
          <w:szCs w:val="24"/>
          <w:u w:val="single" w:color="000000"/>
        </w:rPr>
        <w:t>pokud nemá příjemce nárok na odpočet</w:t>
      </w:r>
      <w:r w:rsidRPr="00626FAA">
        <w:rPr>
          <w:sz w:val="24"/>
          <w:szCs w:val="24"/>
        </w:rPr>
        <w:t xml:space="preserve"> této daně dle zákona</w:t>
      </w:r>
      <w:r w:rsidR="00626FAA" w:rsidRPr="00626FAA">
        <w:rPr>
          <w:sz w:val="24"/>
          <w:szCs w:val="24"/>
        </w:rPr>
        <w:t xml:space="preserve"> </w:t>
      </w:r>
      <w:r w:rsidRPr="00626FAA">
        <w:rPr>
          <w:sz w:val="24"/>
          <w:szCs w:val="24"/>
        </w:rPr>
        <w:t>č. 235/2004 Sb., o dani z přidané hodnoty, ve znění pozdějších předpisů.</w:t>
      </w: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626FAA" w:rsidRDefault="00626FAA" w:rsidP="00626FAA">
      <w:pPr>
        <w:pStyle w:val="Bezmezer"/>
        <w:ind w:left="1483" w:firstLine="0"/>
        <w:rPr>
          <w:sz w:val="24"/>
          <w:szCs w:val="24"/>
        </w:rPr>
      </w:pPr>
    </w:p>
    <w:p w:rsidR="00C91166" w:rsidRPr="002D7344" w:rsidRDefault="00C91166" w:rsidP="00BE5265">
      <w:pPr>
        <w:pStyle w:val="Bezmezer"/>
        <w:rPr>
          <w:sz w:val="24"/>
          <w:szCs w:val="24"/>
          <w:u w:val="single"/>
        </w:rPr>
      </w:pPr>
      <w:r w:rsidRPr="002D7344">
        <w:rPr>
          <w:sz w:val="24"/>
          <w:szCs w:val="24"/>
          <w:u w:val="single"/>
        </w:rPr>
        <w:t xml:space="preserve">Dotaci </w:t>
      </w:r>
      <w:r w:rsidR="00626FAA" w:rsidRPr="002D7344">
        <w:rPr>
          <w:b/>
          <w:sz w:val="24"/>
          <w:szCs w:val="24"/>
          <w:u w:val="single"/>
        </w:rPr>
        <w:t>NELZE</w:t>
      </w:r>
      <w:r w:rsidRPr="002D7344">
        <w:rPr>
          <w:sz w:val="24"/>
          <w:szCs w:val="24"/>
          <w:u w:val="single"/>
        </w:rPr>
        <w:t xml:space="preserve"> použít na:</w:t>
      </w:r>
    </w:p>
    <w:p w:rsidR="00626FAA" w:rsidRPr="00BE5265" w:rsidRDefault="00626FAA" w:rsidP="00BE5265">
      <w:pPr>
        <w:pStyle w:val="Bezmezer"/>
        <w:rPr>
          <w:sz w:val="24"/>
          <w:szCs w:val="24"/>
        </w:rPr>
      </w:pPr>
    </w:p>
    <w:p w:rsidR="00C91166" w:rsidRPr="00BE5265" w:rsidRDefault="00C91166" w:rsidP="00626FA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BE5265">
        <w:rPr>
          <w:sz w:val="24"/>
          <w:szCs w:val="24"/>
        </w:rPr>
        <w:t>pořízení hmotného nebo nehmotného nad rámec stanovený v písm. a) a b) výše,</w:t>
      </w:r>
    </w:p>
    <w:p w:rsidR="00E56D9C" w:rsidRPr="00D553BD" w:rsidRDefault="00C91166" w:rsidP="00E56D9C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E56D9C">
        <w:rPr>
          <w:sz w:val="24"/>
          <w:szCs w:val="24"/>
        </w:rPr>
        <w:t xml:space="preserve">nákup vybraného vybavení nad rámec stanovených limitů </w:t>
      </w:r>
      <w:r w:rsidR="00E56D9C" w:rsidRPr="00D553BD">
        <w:rPr>
          <w:sz w:val="24"/>
          <w:szCs w:val="24"/>
        </w:rPr>
        <w:t xml:space="preserve">v </w:t>
      </w:r>
      <w:r w:rsidR="00E56D9C">
        <w:rPr>
          <w:sz w:val="24"/>
          <w:szCs w:val="24"/>
        </w:rPr>
        <w:t>„Finanční limity na vybavení“.</w:t>
      </w:r>
    </w:p>
    <w:p w:rsidR="00C91166" w:rsidRPr="00E56D9C" w:rsidRDefault="00C91166" w:rsidP="00E559AC">
      <w:pPr>
        <w:pStyle w:val="Bezmezer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 w:rsidRPr="00E56D9C">
        <w:rPr>
          <w:sz w:val="24"/>
          <w:szCs w:val="24"/>
        </w:rPr>
        <w:t>úhradu úroků, penále, srážek a dalších finančních postihů vč. bankovních,</w:t>
      </w:r>
    </w:p>
    <w:p w:rsidR="005D2F73" w:rsidRDefault="00C91166" w:rsidP="00626FA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BE5265">
        <w:rPr>
          <w:sz w:val="24"/>
          <w:szCs w:val="24"/>
        </w:rPr>
        <w:t xml:space="preserve">úhradu finančního leasingu osobních automobilů a dalšího hmotného majetku podle zákona o daních z příjmů nebo předpisů upravujících účetnictví. Finančním leasingem se rozumí takový leasing, který z pronajímatele na nájemce převádí v podstatě veškerá rizika a užitky spojené s vlastnictvím aktiva, na konci nájemní doby se převádí vlastnictví aktiva na nájemce nebo nájemce má právo koupit aktivum za cenu, o které se předpokládá, že bude podstatně nižší než reálná hodnota k datu možného využití opce, doba leasingu je sjednána na podstatnou část ekonomické životnosti aktiva nebo jsou naplněny další znaky finančního leasingu, </w:t>
      </w:r>
    </w:p>
    <w:p w:rsidR="00C91166" w:rsidRPr="00BE5265" w:rsidRDefault="00C91166" w:rsidP="00626FA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BE5265">
        <w:rPr>
          <w:sz w:val="24"/>
          <w:szCs w:val="24"/>
        </w:rPr>
        <w:t>úhradu cestovních náhrad nad rámec stanovený zákonem č. 262/2006 Sb., zákoník práce, ve znění pozdějších předpisů, a nad rámec organizačních povinností,</w:t>
      </w:r>
    </w:p>
    <w:p w:rsidR="00C91166" w:rsidRPr="00BE5265" w:rsidRDefault="00C91166" w:rsidP="00626FAA">
      <w:pPr>
        <w:pStyle w:val="Bezmezer"/>
        <w:numPr>
          <w:ilvl w:val="0"/>
          <w:numId w:val="5"/>
        </w:numPr>
        <w:rPr>
          <w:sz w:val="24"/>
          <w:szCs w:val="24"/>
        </w:rPr>
      </w:pPr>
      <w:proofErr w:type="spellStart"/>
      <w:r w:rsidRPr="00BE5265">
        <w:rPr>
          <w:sz w:val="24"/>
          <w:szCs w:val="24"/>
        </w:rPr>
        <w:t>pohoštění</w:t>
      </w:r>
      <w:r w:rsidRPr="00BE5265">
        <w:rPr>
          <w:sz w:val="24"/>
          <w:szCs w:val="24"/>
          <w:vertAlign w:val="superscript"/>
        </w:rPr>
        <w:t>l</w:t>
      </w:r>
      <w:proofErr w:type="spellEnd"/>
      <w:r w:rsidRPr="00BE5265">
        <w:rPr>
          <w:sz w:val="24"/>
          <w:szCs w:val="24"/>
          <w:vertAlign w:val="superscript"/>
        </w:rPr>
        <w:t xml:space="preserve"> </w:t>
      </w:r>
      <w:r w:rsidRPr="00BE5265">
        <w:rPr>
          <w:sz w:val="24"/>
          <w:szCs w:val="24"/>
        </w:rPr>
        <w:t>a dary,</w:t>
      </w:r>
    </w:p>
    <w:p w:rsidR="00C91166" w:rsidRPr="00BE5265" w:rsidRDefault="00C91166" w:rsidP="00626FA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BE5265">
        <w:rPr>
          <w:sz w:val="24"/>
          <w:szCs w:val="24"/>
        </w:rPr>
        <w:t>podnikatelskou činnost sloužící k vytváření zisku,</w:t>
      </w:r>
    </w:p>
    <w:p w:rsidR="00C91166" w:rsidRPr="00BE5265" w:rsidRDefault="00C91166" w:rsidP="00626FAA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BE5265">
        <w:rPr>
          <w:sz w:val="24"/>
          <w:szCs w:val="24"/>
        </w:rPr>
        <w:t>duplicitní úhradu jakýchkoli stejných nákladů na projekt z různých zdrojů, včetně zdrojů ze státního rozpočtu</w:t>
      </w:r>
      <w:proofErr w:type="gramStart"/>
      <w:r w:rsidRPr="00BE5265">
        <w:rPr>
          <w:sz w:val="24"/>
          <w:szCs w:val="24"/>
          <w:vertAlign w:val="superscript"/>
        </w:rPr>
        <w:t xml:space="preserve">2 </w:t>
      </w:r>
      <w:r w:rsidRPr="00BE5265">
        <w:rPr>
          <w:sz w:val="24"/>
          <w:szCs w:val="24"/>
        </w:rPr>
        <w:t>.</w:t>
      </w:r>
      <w:proofErr w:type="gramEnd"/>
    </w:p>
    <w:p w:rsidR="00C91166" w:rsidRDefault="00C91166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BE5265">
      <w:pPr>
        <w:pStyle w:val="Bezmezer"/>
        <w:rPr>
          <w:sz w:val="24"/>
          <w:szCs w:val="24"/>
        </w:rPr>
      </w:pPr>
    </w:p>
    <w:p w:rsidR="00626FAA" w:rsidRDefault="00626FAA" w:rsidP="00626FA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626FAA" w:rsidRPr="00F37670" w:rsidRDefault="00626FAA" w:rsidP="00626FAA">
      <w:pPr>
        <w:pStyle w:val="Bezmezer"/>
        <w:rPr>
          <w:sz w:val="20"/>
          <w:szCs w:val="20"/>
        </w:rPr>
      </w:pPr>
      <w:r w:rsidRPr="00F37670">
        <w:rPr>
          <w:sz w:val="20"/>
          <w:szCs w:val="20"/>
        </w:rPr>
        <w:t>1 Pohoštěním není společné stravování účastníků sportovních akcí, soustředění a výcvikových táborů</w:t>
      </w:r>
    </w:p>
    <w:p w:rsidR="00C91166" w:rsidRPr="00626FAA" w:rsidRDefault="00626FAA" w:rsidP="00BE5265">
      <w:pPr>
        <w:pStyle w:val="Bezmezer"/>
        <w:rPr>
          <w:sz w:val="20"/>
          <w:szCs w:val="20"/>
        </w:rPr>
      </w:pPr>
      <w:r w:rsidRPr="00626FAA">
        <w:rPr>
          <w:sz w:val="20"/>
          <w:szCs w:val="20"/>
        </w:rPr>
        <w:t xml:space="preserve">2 </w:t>
      </w:r>
      <w:r w:rsidR="00C91166" w:rsidRPr="00626FAA">
        <w:rPr>
          <w:sz w:val="20"/>
          <w:szCs w:val="20"/>
        </w:rPr>
        <w:t>V případě, že výdaj nebo daňový doklad či jeho část, byl již jednou uplatněn v rámci vyúčtování dotace (grantu či příspěvku) nelze jej uplatnit ve vyúčtování jiné dotace (grantu či příspěvku).</w:t>
      </w:r>
    </w:p>
    <w:p w:rsidR="00773EB8" w:rsidRDefault="00773EB8" w:rsidP="00BE5265">
      <w:pPr>
        <w:pStyle w:val="Bezmezer"/>
        <w:rPr>
          <w:sz w:val="24"/>
          <w:szCs w:val="24"/>
        </w:rPr>
      </w:pPr>
    </w:p>
    <w:p w:rsidR="00B432FA" w:rsidRPr="002D7344" w:rsidRDefault="00B432FA" w:rsidP="00B432FA">
      <w:pPr>
        <w:pStyle w:val="Bezmezer"/>
        <w:jc w:val="center"/>
        <w:rPr>
          <w:b/>
          <w:sz w:val="28"/>
          <w:szCs w:val="28"/>
        </w:rPr>
      </w:pPr>
      <w:r w:rsidRPr="002D7344">
        <w:rPr>
          <w:b/>
          <w:sz w:val="28"/>
          <w:szCs w:val="28"/>
        </w:rPr>
        <w:lastRenderedPageBreak/>
        <w:t>Finanční limity na vybavení určené pro neinvestiční dotační</w:t>
      </w:r>
    </w:p>
    <w:p w:rsidR="00B432FA" w:rsidRPr="002D7344" w:rsidRDefault="00B432FA" w:rsidP="00B432FA">
      <w:pPr>
        <w:pStyle w:val="Bezmezer"/>
        <w:jc w:val="center"/>
        <w:rPr>
          <w:b/>
          <w:sz w:val="28"/>
          <w:szCs w:val="28"/>
        </w:rPr>
      </w:pPr>
      <w:r w:rsidRPr="002D7344">
        <w:rPr>
          <w:b/>
          <w:sz w:val="28"/>
          <w:szCs w:val="28"/>
        </w:rPr>
        <w:t>Program TALENT</w:t>
      </w:r>
    </w:p>
    <w:p w:rsidR="00B432FA" w:rsidRDefault="00B432FA" w:rsidP="00B432FA">
      <w:pPr>
        <w:pStyle w:val="Bezmezer"/>
        <w:jc w:val="center"/>
        <w:rPr>
          <w:b/>
          <w:sz w:val="32"/>
          <w:szCs w:val="32"/>
        </w:rPr>
      </w:pPr>
    </w:p>
    <w:p w:rsidR="002D7344" w:rsidRPr="00B432FA" w:rsidRDefault="002D7344" w:rsidP="00B432FA">
      <w:pPr>
        <w:pStyle w:val="Bezmezer"/>
        <w:jc w:val="center"/>
        <w:rPr>
          <w:b/>
          <w:sz w:val="32"/>
          <w:szCs w:val="32"/>
        </w:rPr>
      </w:pPr>
    </w:p>
    <w:tbl>
      <w:tblPr>
        <w:tblStyle w:val="Mkatabulky"/>
        <w:tblW w:w="7696" w:type="dxa"/>
        <w:tblInd w:w="743" w:type="dxa"/>
        <w:tblLook w:val="04A0" w:firstRow="1" w:lastRow="0" w:firstColumn="1" w:lastColumn="0" w:noHBand="0" w:noVBand="1"/>
      </w:tblPr>
      <w:tblGrid>
        <w:gridCol w:w="3897"/>
        <w:gridCol w:w="3799"/>
      </w:tblGrid>
      <w:tr w:rsidR="002D7344" w:rsidTr="00AD7937">
        <w:trPr>
          <w:trHeight w:val="253"/>
        </w:trPr>
        <w:tc>
          <w:tcPr>
            <w:tcW w:w="3897" w:type="dxa"/>
          </w:tcPr>
          <w:p w:rsidR="002D7344" w:rsidRPr="00B57F20" w:rsidRDefault="002D7344" w:rsidP="00AD7937">
            <w:pPr>
              <w:pStyle w:val="Bezmezer"/>
              <w:ind w:left="0" w:firstLine="0"/>
              <w:jc w:val="center"/>
              <w:rPr>
                <w:b/>
              </w:rPr>
            </w:pPr>
            <w:r w:rsidRPr="00B57F20">
              <w:rPr>
                <w:b/>
              </w:rPr>
              <w:t>Vybavení</w:t>
            </w:r>
          </w:p>
        </w:tc>
        <w:tc>
          <w:tcPr>
            <w:tcW w:w="3799" w:type="dxa"/>
          </w:tcPr>
          <w:p w:rsidR="002D7344" w:rsidRPr="00B57F20" w:rsidRDefault="002D7344" w:rsidP="00AD7937">
            <w:pPr>
              <w:pStyle w:val="Bezmezer"/>
              <w:ind w:left="0" w:firstLine="0"/>
              <w:jc w:val="center"/>
              <w:rPr>
                <w:b/>
              </w:rPr>
            </w:pPr>
            <w:r w:rsidRPr="00B57F20">
              <w:rPr>
                <w:b/>
              </w:rPr>
              <w:t>Limit ceny včetně DPH</w:t>
            </w:r>
          </w:p>
        </w:tc>
      </w:tr>
      <w:tr w:rsidR="002D7344" w:rsidTr="00AD7937">
        <w:trPr>
          <w:trHeight w:val="238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Mobilní telefon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5 000, - Kč</w:t>
            </w:r>
          </w:p>
        </w:tc>
      </w:tr>
      <w:tr w:rsidR="002D7344" w:rsidTr="00AD7937">
        <w:trPr>
          <w:trHeight w:val="253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Tablet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6 000, - Kč</w:t>
            </w:r>
          </w:p>
        </w:tc>
      </w:tr>
      <w:tr w:rsidR="002D7344" w:rsidTr="00AD7937">
        <w:trPr>
          <w:trHeight w:val="238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Fotoaparát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6 000, - Kč</w:t>
            </w:r>
          </w:p>
        </w:tc>
      </w:tr>
      <w:tr w:rsidR="002D7344" w:rsidTr="00AD7937">
        <w:trPr>
          <w:trHeight w:val="253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Digitální videokamera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7 000, - Kč</w:t>
            </w:r>
          </w:p>
        </w:tc>
      </w:tr>
      <w:tr w:rsidR="002D7344" w:rsidTr="00AD7937">
        <w:trPr>
          <w:trHeight w:val="492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Multifunkční zařízení (tiskárna, skener, kopírka)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10 000, - Kč</w:t>
            </w:r>
          </w:p>
        </w:tc>
      </w:tr>
      <w:tr w:rsidR="002D7344" w:rsidTr="00AD7937">
        <w:trPr>
          <w:trHeight w:val="238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Notebook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14 000, - Kč</w:t>
            </w:r>
          </w:p>
        </w:tc>
      </w:tr>
      <w:tr w:rsidR="002D7344" w:rsidTr="00AD7937">
        <w:trPr>
          <w:trHeight w:val="238"/>
        </w:trPr>
        <w:tc>
          <w:tcPr>
            <w:tcW w:w="3897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Stolní PC sestava (včetně monitoru)</w:t>
            </w:r>
          </w:p>
        </w:tc>
        <w:tc>
          <w:tcPr>
            <w:tcW w:w="3799" w:type="dxa"/>
          </w:tcPr>
          <w:p w:rsidR="002D7344" w:rsidRDefault="002D7344" w:rsidP="00AD7937">
            <w:pPr>
              <w:pStyle w:val="Bezmezer"/>
              <w:ind w:left="0" w:firstLine="0"/>
            </w:pPr>
            <w:r>
              <w:t>20 000,- Kč</w:t>
            </w:r>
          </w:p>
        </w:tc>
      </w:tr>
    </w:tbl>
    <w:p w:rsidR="00B432FA" w:rsidRPr="00BE5265" w:rsidRDefault="00B432FA" w:rsidP="00B432FA">
      <w:pPr>
        <w:rPr>
          <w:sz w:val="24"/>
          <w:szCs w:val="24"/>
        </w:rPr>
      </w:pPr>
    </w:p>
    <w:sectPr w:rsidR="00B432FA" w:rsidRPr="00BE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275"/>
    <w:multiLevelType w:val="hybridMultilevel"/>
    <w:tmpl w:val="39303C40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4044289F"/>
    <w:multiLevelType w:val="hybridMultilevel"/>
    <w:tmpl w:val="28025340"/>
    <w:lvl w:ilvl="0" w:tplc="40BCC276">
      <w:start w:val="6"/>
      <w:numFmt w:val="lowerLetter"/>
      <w:lvlText w:val="%1)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408FA">
      <w:start w:val="1"/>
      <w:numFmt w:val="lowerLetter"/>
      <w:lvlText w:val="%2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369680">
      <w:start w:val="1"/>
      <w:numFmt w:val="lowerRoman"/>
      <w:lvlText w:val="%3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CD106">
      <w:start w:val="1"/>
      <w:numFmt w:val="decimal"/>
      <w:lvlText w:val="%4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E7760">
      <w:start w:val="1"/>
      <w:numFmt w:val="lowerLetter"/>
      <w:lvlText w:val="%5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00906">
      <w:start w:val="1"/>
      <w:numFmt w:val="lowerRoman"/>
      <w:lvlText w:val="%6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0D0A0">
      <w:start w:val="1"/>
      <w:numFmt w:val="decimal"/>
      <w:lvlText w:val="%7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E616A">
      <w:start w:val="1"/>
      <w:numFmt w:val="lowerLetter"/>
      <w:lvlText w:val="%8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EB410">
      <w:start w:val="1"/>
      <w:numFmt w:val="lowerRoman"/>
      <w:lvlText w:val="%9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DB2C71"/>
    <w:multiLevelType w:val="hybridMultilevel"/>
    <w:tmpl w:val="3EF836A0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56860933"/>
    <w:multiLevelType w:val="hybridMultilevel"/>
    <w:tmpl w:val="4D262E54"/>
    <w:lvl w:ilvl="0" w:tplc="BEC07692">
      <w:start w:val="1"/>
      <w:numFmt w:val="lowerLetter"/>
      <w:lvlText w:val="%1)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26E78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E39C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2D166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C49F8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894AE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25CA6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C8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EBE50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3499D"/>
    <w:multiLevelType w:val="hybridMultilevel"/>
    <w:tmpl w:val="B9F22B72"/>
    <w:lvl w:ilvl="0" w:tplc="FA7E5930">
      <w:start w:val="2"/>
      <w:numFmt w:val="lowerLetter"/>
      <w:lvlText w:val="%1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CB61C">
      <w:start w:val="1"/>
      <w:numFmt w:val="lowerLetter"/>
      <w:lvlText w:val="%2"/>
      <w:lvlJc w:val="left"/>
      <w:pPr>
        <w:ind w:left="1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7214">
      <w:start w:val="1"/>
      <w:numFmt w:val="lowerRoman"/>
      <w:lvlText w:val="%3"/>
      <w:lvlJc w:val="left"/>
      <w:pPr>
        <w:ind w:left="2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0EF32">
      <w:start w:val="1"/>
      <w:numFmt w:val="decimal"/>
      <w:lvlText w:val="%4"/>
      <w:lvlJc w:val="left"/>
      <w:pPr>
        <w:ind w:left="3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DDA2">
      <w:start w:val="1"/>
      <w:numFmt w:val="lowerLetter"/>
      <w:lvlText w:val="%5"/>
      <w:lvlJc w:val="left"/>
      <w:pPr>
        <w:ind w:left="3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015BE">
      <w:start w:val="1"/>
      <w:numFmt w:val="lowerRoman"/>
      <w:lvlText w:val="%6"/>
      <w:lvlJc w:val="left"/>
      <w:pPr>
        <w:ind w:left="4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F1E6">
      <w:start w:val="1"/>
      <w:numFmt w:val="decimal"/>
      <w:lvlText w:val="%7"/>
      <w:lvlJc w:val="left"/>
      <w:pPr>
        <w:ind w:left="5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D724">
      <w:start w:val="1"/>
      <w:numFmt w:val="lowerLetter"/>
      <w:lvlText w:val="%8"/>
      <w:lvlJc w:val="left"/>
      <w:pPr>
        <w:ind w:left="5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61EEA">
      <w:start w:val="1"/>
      <w:numFmt w:val="lowerRoman"/>
      <w:lvlText w:val="%9"/>
      <w:lvlJc w:val="left"/>
      <w:pPr>
        <w:ind w:left="6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036F4"/>
    <w:multiLevelType w:val="hybridMultilevel"/>
    <w:tmpl w:val="509864A4"/>
    <w:lvl w:ilvl="0" w:tplc="040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66"/>
    <w:rsid w:val="002D7344"/>
    <w:rsid w:val="005D2F73"/>
    <w:rsid w:val="00626FAA"/>
    <w:rsid w:val="007734A7"/>
    <w:rsid w:val="00773EB8"/>
    <w:rsid w:val="009C6D74"/>
    <w:rsid w:val="00A10F5E"/>
    <w:rsid w:val="00B432FA"/>
    <w:rsid w:val="00BE5265"/>
    <w:rsid w:val="00C91166"/>
    <w:rsid w:val="00E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A6A6"/>
  <w15:chartTrackingRefBased/>
  <w15:docId w15:val="{32EB6CBD-336B-4D2C-9866-B8CF907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1166"/>
    <w:pPr>
      <w:spacing w:after="34" w:line="228" w:lineRule="auto"/>
      <w:ind w:left="1148" w:right="48" w:hanging="356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0F5E"/>
    <w:pPr>
      <w:spacing w:after="0" w:line="240" w:lineRule="auto"/>
      <w:ind w:left="1123" w:right="82" w:hanging="36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table" w:customStyle="1" w:styleId="TableGrid">
    <w:name w:val="TableGrid"/>
    <w:rsid w:val="00B432F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344"/>
    <w:rPr>
      <w:rFonts w:ascii="Segoe UI" w:eastAsia="Calibri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D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Nevrla</dc:creator>
  <cp:keywords/>
  <dc:description/>
  <cp:lastModifiedBy>Katerina Nevrla</cp:lastModifiedBy>
  <cp:revision>5</cp:revision>
  <cp:lastPrinted>2018-05-23T09:24:00Z</cp:lastPrinted>
  <dcterms:created xsi:type="dcterms:W3CDTF">2018-05-22T08:47:00Z</dcterms:created>
  <dcterms:modified xsi:type="dcterms:W3CDTF">2018-05-23T09:59:00Z</dcterms:modified>
</cp:coreProperties>
</file>