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70" w:rsidRDefault="007E36CA" w:rsidP="007E36CA">
      <w:pPr>
        <w:pStyle w:val="Bezmezer"/>
        <w:jc w:val="center"/>
        <w:rPr>
          <w:b/>
          <w:sz w:val="32"/>
          <w:szCs w:val="32"/>
        </w:rPr>
      </w:pPr>
      <w:r w:rsidRPr="007E36CA">
        <w:rPr>
          <w:b/>
          <w:sz w:val="32"/>
          <w:szCs w:val="32"/>
        </w:rPr>
        <w:t xml:space="preserve">Účelové určení a podmínky použití neinvestiční dotace  </w:t>
      </w:r>
    </w:p>
    <w:p w:rsidR="00F37670" w:rsidRDefault="00F37670" w:rsidP="007E36CA">
      <w:pPr>
        <w:pStyle w:val="Bezmezer"/>
        <w:jc w:val="center"/>
        <w:rPr>
          <w:b/>
          <w:sz w:val="32"/>
          <w:szCs w:val="32"/>
        </w:rPr>
      </w:pPr>
    </w:p>
    <w:p w:rsidR="007E36CA" w:rsidRDefault="00F37670" w:rsidP="007E36CA">
      <w:pPr>
        <w:pStyle w:val="Bezmezer"/>
        <w:jc w:val="center"/>
        <w:rPr>
          <w:b/>
          <w:sz w:val="32"/>
          <w:szCs w:val="32"/>
        </w:rPr>
      </w:pPr>
      <w:r w:rsidRPr="007E36CA">
        <w:rPr>
          <w:b/>
          <w:sz w:val="32"/>
          <w:szCs w:val="32"/>
        </w:rPr>
        <w:t>PROGRAM</w:t>
      </w:r>
      <w:r w:rsidR="007E36CA" w:rsidRPr="007E36CA">
        <w:rPr>
          <w:b/>
          <w:sz w:val="32"/>
          <w:szCs w:val="32"/>
        </w:rPr>
        <w:t xml:space="preserve"> REPRE </w:t>
      </w:r>
    </w:p>
    <w:p w:rsidR="006C6701" w:rsidRDefault="006C6701" w:rsidP="007E36CA">
      <w:pPr>
        <w:pStyle w:val="Bezmezer"/>
        <w:jc w:val="center"/>
        <w:rPr>
          <w:b/>
          <w:sz w:val="32"/>
          <w:szCs w:val="32"/>
        </w:rPr>
      </w:pPr>
    </w:p>
    <w:p w:rsidR="007E36CA" w:rsidRPr="006C6701" w:rsidRDefault="007E36CA" w:rsidP="004506F9">
      <w:pPr>
        <w:pStyle w:val="Bezmezer"/>
        <w:ind w:left="0" w:firstLine="0"/>
        <w:rPr>
          <w:sz w:val="24"/>
          <w:szCs w:val="24"/>
          <w:u w:val="single"/>
        </w:rPr>
      </w:pPr>
      <w:bookmarkStart w:id="0" w:name="_GoBack"/>
      <w:bookmarkEnd w:id="0"/>
      <w:r w:rsidRPr="006C6701">
        <w:rPr>
          <w:sz w:val="24"/>
          <w:szCs w:val="24"/>
          <w:u w:val="single"/>
        </w:rPr>
        <w:t xml:space="preserve">Dotaci </w:t>
      </w:r>
      <w:r w:rsidR="00F37670" w:rsidRPr="006C6701">
        <w:rPr>
          <w:b/>
          <w:sz w:val="24"/>
          <w:szCs w:val="24"/>
          <w:u w:val="single"/>
        </w:rPr>
        <w:t>LZE</w:t>
      </w:r>
      <w:r w:rsidRPr="006C6701">
        <w:rPr>
          <w:sz w:val="24"/>
          <w:szCs w:val="24"/>
          <w:u w:val="single"/>
        </w:rPr>
        <w:t xml:space="preserve"> použít pouze na:</w:t>
      </w:r>
    </w:p>
    <w:p w:rsidR="007E36CA" w:rsidRPr="007E36CA" w:rsidRDefault="007E36CA" w:rsidP="007E36CA">
      <w:pPr>
        <w:pStyle w:val="Bezmezer"/>
        <w:rPr>
          <w:sz w:val="24"/>
          <w:szCs w:val="24"/>
        </w:rPr>
      </w:pP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</w:rPr>
        <w:t xml:space="preserve">vybavení </w:t>
      </w:r>
      <w:r w:rsidRPr="007E36CA">
        <w:rPr>
          <w:sz w:val="24"/>
          <w:szCs w:val="24"/>
          <w:u w:val="single" w:color="000000"/>
        </w:rPr>
        <w:t>hmotným majetkem</w:t>
      </w:r>
      <w:r w:rsidRPr="007E36CA">
        <w:rPr>
          <w:sz w:val="24"/>
          <w:szCs w:val="24"/>
        </w:rPr>
        <w:t xml:space="preserve"> souvisejícím s plněním Vyhlášení Obsahového zaměření programu REPRE, jehož ocenění je nižší nebo rovno 40 tis. Kč, celkově však nejvýše do výše 25 % z poskytnuté dotace, celkově však souhrnně s písm. b) nejvýše do výše 25 % z poskytnuté dotace,</w:t>
      </w: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</w:rPr>
        <w:t xml:space="preserve">vybavení </w:t>
      </w:r>
      <w:r w:rsidRPr="007E36CA">
        <w:rPr>
          <w:sz w:val="24"/>
          <w:szCs w:val="24"/>
          <w:u w:val="single" w:color="000000"/>
        </w:rPr>
        <w:t>nehmotným majetkem</w:t>
      </w:r>
      <w:r w:rsidRPr="007E36CA">
        <w:rPr>
          <w:sz w:val="24"/>
          <w:szCs w:val="24"/>
        </w:rPr>
        <w:t xml:space="preserve"> souvisejícím s plněním Obsahového zaměření programu REPRE, jehož ocenění je nižší nebo rovno 60 tis. Kč, celkově však souhrnně s písm. a) nejvýše do výše 25 % z poskytnuté dotace,</w:t>
      </w: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  <w:u w:val="single" w:color="000000"/>
        </w:rPr>
        <w:t>cestovné</w:t>
      </w:r>
      <w:r w:rsidRPr="007E36CA">
        <w:rPr>
          <w:sz w:val="24"/>
          <w:szCs w:val="24"/>
        </w:rPr>
        <w:t>: úhrada nákladů na dopravu osob (sportovců, trenérů a členů realizačního týmu) včetně víz, zvířat a materiálu do místa konání akce i v místě konání akce,</w:t>
      </w: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</w:rPr>
        <w:t xml:space="preserve">další </w:t>
      </w:r>
      <w:r w:rsidRPr="007E36CA">
        <w:rPr>
          <w:sz w:val="24"/>
          <w:szCs w:val="24"/>
          <w:u w:val="single" w:color="000000"/>
        </w:rPr>
        <w:t>služby</w:t>
      </w:r>
      <w:r w:rsidRPr="007E36CA">
        <w:rPr>
          <w:sz w:val="24"/>
          <w:szCs w:val="24"/>
        </w:rPr>
        <w:t>: služby trenérů, úhrada nákladů na ubytování, stravování (včetně nákladů na zkvalitnění stravy), regeneraci, zdravotní zabezpečení členů reprezentačního družstva a realizačního týmu v rámci zabezpečení sportovní reprezentace, technický servis a nájemné prostor pro zabezpečení sportovní přípravy reprezentace, úhrada nákladů sportovců a realizačního týmu na standardní úrazové a cestovní poj</w:t>
      </w:r>
      <w:r w:rsidR="00F37670">
        <w:rPr>
          <w:sz w:val="24"/>
          <w:szCs w:val="24"/>
        </w:rPr>
        <w:t>iš</w:t>
      </w:r>
      <w:r w:rsidRPr="007E36CA">
        <w:rPr>
          <w:sz w:val="24"/>
          <w:szCs w:val="24"/>
        </w:rPr>
        <w:t>t</w:t>
      </w:r>
      <w:r w:rsidR="00F37670">
        <w:rPr>
          <w:sz w:val="24"/>
          <w:szCs w:val="24"/>
        </w:rPr>
        <w:t>ě</w:t>
      </w:r>
      <w:r w:rsidRPr="007E36CA">
        <w:rPr>
          <w:sz w:val="24"/>
          <w:szCs w:val="24"/>
        </w:rPr>
        <w:t>ní, poj</w:t>
      </w:r>
      <w:r w:rsidR="00F37670">
        <w:rPr>
          <w:sz w:val="24"/>
          <w:szCs w:val="24"/>
        </w:rPr>
        <w:t>iš</w:t>
      </w:r>
      <w:r w:rsidRPr="007E36CA">
        <w:rPr>
          <w:sz w:val="24"/>
          <w:szCs w:val="24"/>
        </w:rPr>
        <w:t>t</w:t>
      </w:r>
      <w:r w:rsidR="00F37670">
        <w:rPr>
          <w:sz w:val="24"/>
          <w:szCs w:val="24"/>
        </w:rPr>
        <w:t>ě</w:t>
      </w:r>
      <w:r w:rsidRPr="007E36CA">
        <w:rPr>
          <w:sz w:val="24"/>
          <w:szCs w:val="24"/>
        </w:rPr>
        <w:t>ní odpovědnosti, léčebné náklady v zahraničí, pojištění sportovních potřeb a sportovního materiálu, úhrada povinného poplatku Mezinárodní sportovní federaci nebo Evropské sportovní federaci za členství, účast apod., služby související s podporou antidopingového programu a potřeb k zajištění dopingových testů, p</w:t>
      </w:r>
      <w:r w:rsidR="00F37670">
        <w:rPr>
          <w:sz w:val="24"/>
          <w:szCs w:val="24"/>
        </w:rPr>
        <w:t>ojiště</w:t>
      </w:r>
      <w:r w:rsidRPr="007E36CA">
        <w:rPr>
          <w:sz w:val="24"/>
          <w:szCs w:val="24"/>
        </w:rPr>
        <w:t>ní sportovních potřeb a sportovního materiálu, stipendia,</w:t>
      </w: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  <w:u w:val="single" w:color="000000"/>
        </w:rPr>
        <w:t>ostatní</w:t>
      </w:r>
      <w:r w:rsidRPr="007E36CA">
        <w:rPr>
          <w:sz w:val="24"/>
          <w:szCs w:val="24"/>
        </w:rPr>
        <w:t>: odměny za sportovní výsledky a poplatky za telekomunikační služby související s Obsahovým zaměřením programu REPRE a další služby bezprostředně spojené se sportovní přípravou reprezentace, jejichž součet nesmí přesáhnout výši 10 % z poskytnuté dotace,</w:t>
      </w:r>
    </w:p>
    <w:p w:rsidR="007E36CA" w:rsidRDefault="007E36CA" w:rsidP="007E36C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  <w:u w:val="single" w:color="000000"/>
        </w:rPr>
        <w:t>Osobní / mzdové náklady</w:t>
      </w:r>
      <w:r w:rsidRPr="007E36CA">
        <w:rPr>
          <w:sz w:val="24"/>
          <w:szCs w:val="24"/>
        </w:rPr>
        <w:t xml:space="preserve"> je možné čerpat s limitem do 45 tis. Kč na osobu a měsíc, ostatní osobní náklady — DPP a DPČ a taktéž náklady na služby trenérů (OSVČ) se řídí tímto limitem. Z dotace lze hradit i související povinné zákonné odvody zaměstnavatele, které nejsou do výše limitu zahrnuty. Limity stanovené tímto dokumentem představují maximální celkovou měsíční hrubou mzdu zaměstnance na dané pozici při plném pracovním úvazku (100 %), tj. při zkráceném úvazku se limity krátí úměrně dle uvedené výše úvazku, včetně určení hodinové sazby. Daný finanční limit je platný u všech úvazků přesahujících plný pracovní úvazek. Náklady uvedené v tomto bodě může mít spolek vyšší, avšak z případné dotace lze hradit jen uvedený limit. Dále lze hradit i související povinné zákonné odvody zaměstnavatele, které nejsou do výše limitu zahrnuty,</w:t>
      </w:r>
    </w:p>
    <w:p w:rsidR="007E36CA" w:rsidRPr="00F37670" w:rsidRDefault="007E36CA" w:rsidP="00F37670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7E36CA">
        <w:rPr>
          <w:sz w:val="24"/>
          <w:szCs w:val="24"/>
          <w:u w:val="single" w:color="000000"/>
        </w:rPr>
        <w:lastRenderedPageBreak/>
        <w:t>daň z přidané hodnoty</w:t>
      </w:r>
      <w:r w:rsidRPr="007E36CA">
        <w:rPr>
          <w:sz w:val="24"/>
          <w:szCs w:val="24"/>
        </w:rPr>
        <w:t xml:space="preserve"> související s výdaji vynaloženými na plnění Obsahového zaměření programu REPRE, </w:t>
      </w:r>
      <w:r w:rsidRPr="007E36CA">
        <w:rPr>
          <w:sz w:val="24"/>
          <w:szCs w:val="24"/>
          <w:u w:val="single" w:color="000000"/>
        </w:rPr>
        <w:t>pokud nemá příjemce nárok na odpočet</w:t>
      </w:r>
      <w:r w:rsidRPr="007E36CA">
        <w:rPr>
          <w:sz w:val="24"/>
          <w:szCs w:val="24"/>
        </w:rPr>
        <w:t xml:space="preserve"> této daně dle zákona</w:t>
      </w:r>
      <w:r w:rsidR="00F37670">
        <w:rPr>
          <w:sz w:val="24"/>
          <w:szCs w:val="24"/>
        </w:rPr>
        <w:t xml:space="preserve"> </w:t>
      </w:r>
      <w:r w:rsidRPr="00F37670">
        <w:rPr>
          <w:sz w:val="24"/>
          <w:szCs w:val="24"/>
        </w:rPr>
        <w:t>č. 235/2004 Sb., o dani z přidané hodnoty, ve znění pozdějších předpisů.</w:t>
      </w:r>
    </w:p>
    <w:p w:rsidR="007E36CA" w:rsidRDefault="007E36CA" w:rsidP="007E36CA">
      <w:pPr>
        <w:pStyle w:val="Bezmezer"/>
        <w:rPr>
          <w:sz w:val="24"/>
          <w:szCs w:val="24"/>
        </w:rPr>
      </w:pPr>
    </w:p>
    <w:p w:rsidR="007E36CA" w:rsidRDefault="007E36CA" w:rsidP="007E36CA">
      <w:pPr>
        <w:pStyle w:val="Bezmezer"/>
        <w:rPr>
          <w:sz w:val="24"/>
          <w:szCs w:val="24"/>
        </w:rPr>
      </w:pPr>
    </w:p>
    <w:p w:rsidR="007E36CA" w:rsidRPr="006C6701" w:rsidRDefault="007E36CA" w:rsidP="007E36CA">
      <w:pPr>
        <w:pStyle w:val="Bezmezer"/>
        <w:rPr>
          <w:sz w:val="24"/>
          <w:szCs w:val="24"/>
          <w:u w:val="single"/>
        </w:rPr>
      </w:pPr>
      <w:r w:rsidRPr="006C6701">
        <w:rPr>
          <w:sz w:val="24"/>
          <w:szCs w:val="24"/>
          <w:u w:val="single"/>
        </w:rPr>
        <w:t xml:space="preserve">Dotaci </w:t>
      </w:r>
      <w:r w:rsidR="00F37670" w:rsidRPr="006C6701">
        <w:rPr>
          <w:b/>
          <w:sz w:val="24"/>
          <w:szCs w:val="24"/>
          <w:u w:val="single"/>
        </w:rPr>
        <w:t>NELZE</w:t>
      </w:r>
      <w:r w:rsidRPr="006C6701">
        <w:rPr>
          <w:sz w:val="24"/>
          <w:szCs w:val="24"/>
          <w:u w:val="single"/>
        </w:rPr>
        <w:t xml:space="preserve"> použít na:</w:t>
      </w:r>
    </w:p>
    <w:p w:rsidR="007E36CA" w:rsidRPr="007E36CA" w:rsidRDefault="007E36CA" w:rsidP="007E36CA">
      <w:pPr>
        <w:pStyle w:val="Bezmezer"/>
        <w:rPr>
          <w:sz w:val="24"/>
          <w:szCs w:val="24"/>
        </w:rPr>
      </w:pP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7E36CA">
        <w:rPr>
          <w:sz w:val="24"/>
          <w:szCs w:val="24"/>
        </w:rPr>
        <w:t>pořízení hmotného nebo nehmotného nad rámec stanovený v písm. a) a b) výše,</w:t>
      </w:r>
    </w:p>
    <w:p w:rsidR="00D94D2E" w:rsidRPr="00D553BD" w:rsidRDefault="007E36CA" w:rsidP="00D94D2E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D94D2E">
        <w:rPr>
          <w:sz w:val="24"/>
          <w:szCs w:val="24"/>
        </w:rPr>
        <w:t xml:space="preserve">nákup vybraného vybavení nad rámec stanovených limitů </w:t>
      </w:r>
      <w:r w:rsidR="00D94D2E" w:rsidRPr="00D553BD">
        <w:rPr>
          <w:sz w:val="24"/>
          <w:szCs w:val="24"/>
        </w:rPr>
        <w:t xml:space="preserve">v </w:t>
      </w:r>
      <w:r w:rsidR="00D94D2E">
        <w:rPr>
          <w:sz w:val="24"/>
          <w:szCs w:val="24"/>
        </w:rPr>
        <w:t>„Finanční limity na vybavení“.</w:t>
      </w:r>
    </w:p>
    <w:p w:rsidR="007E36CA" w:rsidRPr="00D94D2E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D94D2E">
        <w:rPr>
          <w:sz w:val="24"/>
          <w:szCs w:val="24"/>
        </w:rPr>
        <w:t>úhradu úroků, penále, srážek a dalších finančních postihů vč. bankovních poplatků,</w:t>
      </w: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7E36CA">
        <w:rPr>
          <w:sz w:val="24"/>
          <w:szCs w:val="24"/>
        </w:rPr>
        <w:t xml:space="preserve">úhradu finančního leasingu osobních automobilů a dalšího hmotného majetku podle zákona o daních z příjmů nebo předpisů upravujících účetnictví.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 </w:t>
      </w: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7E36CA">
        <w:rPr>
          <w:sz w:val="24"/>
          <w:szCs w:val="24"/>
        </w:rPr>
        <w:t>úhradu cestovních náhrad nad rámec stanovený zákonem č. 262/2006 Sb., zákoník práce, ve znění pozdějších předpisů, a nad rámec organizačních povinností, netýká se cestovních nákladů spojených s účastí mezinárodních účastníků dle reglementu mezinárodní sportovní federace,</w:t>
      </w: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proofErr w:type="spellStart"/>
      <w:r w:rsidRPr="007E36CA">
        <w:rPr>
          <w:sz w:val="24"/>
          <w:szCs w:val="24"/>
        </w:rPr>
        <w:t>pohoštění</w:t>
      </w:r>
      <w:r w:rsidRPr="007E36CA">
        <w:rPr>
          <w:sz w:val="24"/>
          <w:szCs w:val="24"/>
          <w:vertAlign w:val="superscript"/>
        </w:rPr>
        <w:t>l</w:t>
      </w:r>
      <w:proofErr w:type="spellEnd"/>
      <w:r w:rsidRPr="007E36CA">
        <w:rPr>
          <w:sz w:val="24"/>
          <w:szCs w:val="24"/>
          <w:vertAlign w:val="superscript"/>
        </w:rPr>
        <w:t xml:space="preserve"> </w:t>
      </w:r>
      <w:r w:rsidRPr="007E36CA">
        <w:rPr>
          <w:sz w:val="24"/>
          <w:szCs w:val="24"/>
        </w:rPr>
        <w:t>a dary,</w:t>
      </w: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7E36CA">
        <w:rPr>
          <w:sz w:val="24"/>
          <w:szCs w:val="24"/>
        </w:rPr>
        <w:t>podnikatelskou činnost sloužící k vytváření zisku,</w:t>
      </w:r>
    </w:p>
    <w:p w:rsidR="007E36CA" w:rsidRDefault="007E36CA" w:rsidP="007E36CA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7E36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A968731" wp14:editId="7BCD4FE5">
            <wp:simplePos x="0" y="0"/>
            <wp:positionH relativeFrom="page">
              <wp:posOffset>7395194</wp:posOffset>
            </wp:positionH>
            <wp:positionV relativeFrom="page">
              <wp:posOffset>695093</wp:posOffset>
            </wp:positionV>
            <wp:extent cx="30483" cy="713385"/>
            <wp:effectExtent l="0" t="0" r="0" b="0"/>
            <wp:wrapSquare wrapText="bothSides"/>
            <wp:docPr id="7302" name="Picture 7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2" name="Picture 7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3" cy="7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6CA">
        <w:rPr>
          <w:sz w:val="24"/>
          <w:szCs w:val="24"/>
        </w:rPr>
        <w:t>duplicitní úhradu jakýchkoli stejných nákladů na projekt z různých zdrojů, včetně zdrojů ze státního rozpočtu</w:t>
      </w:r>
      <w:proofErr w:type="gramStart"/>
      <w:r w:rsidRPr="007E36CA">
        <w:rPr>
          <w:sz w:val="24"/>
          <w:szCs w:val="24"/>
          <w:vertAlign w:val="superscript"/>
        </w:rPr>
        <w:t xml:space="preserve">2 </w:t>
      </w:r>
      <w:r w:rsidRPr="007E36CA">
        <w:rPr>
          <w:sz w:val="24"/>
          <w:szCs w:val="24"/>
        </w:rPr>
        <w:t>.</w:t>
      </w:r>
      <w:proofErr w:type="gramEnd"/>
    </w:p>
    <w:p w:rsidR="007E36CA" w:rsidRDefault="007E36CA" w:rsidP="004506F9">
      <w:pPr>
        <w:pStyle w:val="Bezmezer"/>
        <w:ind w:left="0" w:firstLine="0"/>
        <w:rPr>
          <w:sz w:val="24"/>
          <w:szCs w:val="24"/>
        </w:rPr>
      </w:pPr>
    </w:p>
    <w:p w:rsidR="007E36CA" w:rsidRDefault="007E36CA" w:rsidP="007E36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7E36CA" w:rsidRPr="00F37670" w:rsidRDefault="007E36CA" w:rsidP="007E36CA">
      <w:pPr>
        <w:pStyle w:val="Bezmezer"/>
        <w:rPr>
          <w:sz w:val="20"/>
          <w:szCs w:val="20"/>
        </w:rPr>
      </w:pPr>
      <w:r w:rsidRPr="00F37670">
        <w:rPr>
          <w:sz w:val="20"/>
          <w:szCs w:val="20"/>
        </w:rPr>
        <w:t>1 Pohoštěním není společné stravování účastníků sportovních akcí, soustředění a výcvikových táborů</w:t>
      </w:r>
    </w:p>
    <w:p w:rsidR="007E36CA" w:rsidRPr="00F37670" w:rsidRDefault="007E36CA" w:rsidP="007E36CA">
      <w:pPr>
        <w:pStyle w:val="Bezmezer"/>
        <w:rPr>
          <w:sz w:val="20"/>
          <w:szCs w:val="20"/>
        </w:rPr>
      </w:pPr>
      <w:r w:rsidRPr="00F37670">
        <w:rPr>
          <w:sz w:val="20"/>
          <w:szCs w:val="20"/>
        </w:rPr>
        <w:t>2 V případě, že výdaj nebo daňový doklad či jeho část, byl již jednou uplatněn v rámci vyúčtování dotace (grantu či příspěvku) nelze jej uplatnit ve vyúčtování jiné dotace (grantu či příspěvku)</w:t>
      </w:r>
    </w:p>
    <w:p w:rsidR="004506F9" w:rsidRDefault="004506F9" w:rsidP="008F2F21">
      <w:pPr>
        <w:pStyle w:val="Bezmezer"/>
        <w:jc w:val="center"/>
        <w:rPr>
          <w:b/>
          <w:sz w:val="28"/>
          <w:szCs w:val="28"/>
        </w:rPr>
      </w:pPr>
    </w:p>
    <w:p w:rsidR="00E76880" w:rsidRPr="008F2F21" w:rsidRDefault="00E76880" w:rsidP="008F2F21">
      <w:pPr>
        <w:pStyle w:val="Bezmezer"/>
        <w:jc w:val="center"/>
        <w:rPr>
          <w:b/>
          <w:sz w:val="28"/>
          <w:szCs w:val="28"/>
        </w:rPr>
      </w:pPr>
      <w:r w:rsidRPr="008F2F21">
        <w:rPr>
          <w:b/>
          <w:sz w:val="28"/>
          <w:szCs w:val="28"/>
        </w:rPr>
        <w:t>Finanční limity na vybavení určené pro neinvestiční dotační</w:t>
      </w:r>
    </w:p>
    <w:p w:rsidR="00E76880" w:rsidRDefault="00E76880" w:rsidP="008F2F21">
      <w:pPr>
        <w:pStyle w:val="Bezmezer"/>
        <w:jc w:val="center"/>
        <w:rPr>
          <w:b/>
          <w:sz w:val="28"/>
          <w:szCs w:val="28"/>
        </w:rPr>
      </w:pPr>
      <w:r w:rsidRPr="008F2F21">
        <w:rPr>
          <w:b/>
          <w:sz w:val="28"/>
          <w:szCs w:val="28"/>
        </w:rPr>
        <w:t>Program REPRE</w:t>
      </w:r>
    </w:p>
    <w:p w:rsidR="006C6701" w:rsidRDefault="006C6701" w:rsidP="008F2F21">
      <w:pPr>
        <w:pStyle w:val="Bezmezer"/>
        <w:jc w:val="center"/>
        <w:rPr>
          <w:b/>
          <w:sz w:val="28"/>
          <w:szCs w:val="28"/>
        </w:rPr>
      </w:pPr>
    </w:p>
    <w:p w:rsidR="006C6701" w:rsidRDefault="006C6701" w:rsidP="008F2F21">
      <w:pPr>
        <w:pStyle w:val="Bezmezer"/>
        <w:jc w:val="center"/>
        <w:rPr>
          <w:b/>
          <w:sz w:val="28"/>
          <w:szCs w:val="28"/>
        </w:rPr>
      </w:pPr>
    </w:p>
    <w:p w:rsidR="008F2F21" w:rsidRPr="008F2F21" w:rsidRDefault="008F2F21" w:rsidP="008F2F21">
      <w:pPr>
        <w:pStyle w:val="Bezmezer"/>
        <w:jc w:val="center"/>
        <w:rPr>
          <w:b/>
          <w:sz w:val="28"/>
          <w:szCs w:val="28"/>
        </w:rPr>
      </w:pPr>
    </w:p>
    <w:tbl>
      <w:tblPr>
        <w:tblStyle w:val="Mkatabulky"/>
        <w:tblW w:w="7696" w:type="dxa"/>
        <w:tblInd w:w="743" w:type="dxa"/>
        <w:tblLook w:val="04A0" w:firstRow="1" w:lastRow="0" w:firstColumn="1" w:lastColumn="0" w:noHBand="0" w:noVBand="1"/>
      </w:tblPr>
      <w:tblGrid>
        <w:gridCol w:w="3897"/>
        <w:gridCol w:w="3799"/>
      </w:tblGrid>
      <w:tr w:rsidR="006C6701" w:rsidTr="00AD7937">
        <w:trPr>
          <w:trHeight w:val="253"/>
        </w:trPr>
        <w:tc>
          <w:tcPr>
            <w:tcW w:w="3897" w:type="dxa"/>
          </w:tcPr>
          <w:p w:rsidR="006C6701" w:rsidRPr="00B57F20" w:rsidRDefault="006C6701" w:rsidP="00AD7937">
            <w:pPr>
              <w:pStyle w:val="Bezmezer"/>
              <w:ind w:left="0" w:firstLine="0"/>
              <w:jc w:val="center"/>
              <w:rPr>
                <w:b/>
              </w:rPr>
            </w:pPr>
            <w:r w:rsidRPr="00B57F20">
              <w:rPr>
                <w:b/>
              </w:rPr>
              <w:t>Vybavení</w:t>
            </w:r>
          </w:p>
        </w:tc>
        <w:tc>
          <w:tcPr>
            <w:tcW w:w="3799" w:type="dxa"/>
          </w:tcPr>
          <w:p w:rsidR="006C6701" w:rsidRPr="00B57F20" w:rsidRDefault="006C6701" w:rsidP="00AD7937">
            <w:pPr>
              <w:pStyle w:val="Bezmezer"/>
              <w:ind w:left="0" w:firstLine="0"/>
              <w:jc w:val="center"/>
              <w:rPr>
                <w:b/>
              </w:rPr>
            </w:pPr>
            <w:r w:rsidRPr="00B57F20">
              <w:rPr>
                <w:b/>
              </w:rPr>
              <w:t>Limit ceny včetně DPH</w:t>
            </w:r>
          </w:p>
        </w:tc>
      </w:tr>
      <w:tr w:rsidR="006C6701" w:rsidTr="00AD7937">
        <w:trPr>
          <w:trHeight w:val="238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Mobilní telefon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5 000, - Kč</w:t>
            </w:r>
          </w:p>
        </w:tc>
      </w:tr>
      <w:tr w:rsidR="006C6701" w:rsidTr="00AD7937">
        <w:trPr>
          <w:trHeight w:val="253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Tablet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6C6701" w:rsidTr="00AD7937">
        <w:trPr>
          <w:trHeight w:val="238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Fotoaparát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6C6701" w:rsidTr="00AD7937">
        <w:trPr>
          <w:trHeight w:val="253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Digitální videokamera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7 000, - Kč</w:t>
            </w:r>
          </w:p>
        </w:tc>
      </w:tr>
      <w:tr w:rsidR="006C6701" w:rsidTr="00AD7937">
        <w:trPr>
          <w:trHeight w:val="492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Multifunkční zařízení (tiskárna, skener, kopírka)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10 000, - Kč</w:t>
            </w:r>
          </w:p>
        </w:tc>
      </w:tr>
      <w:tr w:rsidR="006C6701" w:rsidTr="00AD7937">
        <w:trPr>
          <w:trHeight w:val="238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Notebook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14 000, - Kč</w:t>
            </w:r>
          </w:p>
        </w:tc>
      </w:tr>
      <w:tr w:rsidR="006C6701" w:rsidTr="00AD7937">
        <w:trPr>
          <w:trHeight w:val="238"/>
        </w:trPr>
        <w:tc>
          <w:tcPr>
            <w:tcW w:w="3897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Stolní PC sestava (včetně monitoru)</w:t>
            </w:r>
          </w:p>
        </w:tc>
        <w:tc>
          <w:tcPr>
            <w:tcW w:w="3799" w:type="dxa"/>
          </w:tcPr>
          <w:p w:rsidR="006C6701" w:rsidRDefault="006C6701" w:rsidP="00AD7937">
            <w:pPr>
              <w:pStyle w:val="Bezmezer"/>
              <w:ind w:left="0" w:firstLine="0"/>
            </w:pPr>
            <w:r>
              <w:t>20 000,- Kč</w:t>
            </w:r>
          </w:p>
        </w:tc>
      </w:tr>
    </w:tbl>
    <w:p w:rsidR="00773EB8" w:rsidRPr="004506F9" w:rsidRDefault="00773EB8" w:rsidP="004506F9">
      <w:pPr>
        <w:ind w:left="0" w:firstLine="0"/>
      </w:pPr>
    </w:p>
    <w:sectPr w:rsidR="00773EB8" w:rsidRPr="0045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97A"/>
    <w:multiLevelType w:val="hybridMultilevel"/>
    <w:tmpl w:val="5948A8F4"/>
    <w:lvl w:ilvl="0" w:tplc="44E8FA76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4FD6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27EE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C57F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A4B7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C945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EEE6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2F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6F47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669E0"/>
    <w:multiLevelType w:val="hybridMultilevel"/>
    <w:tmpl w:val="08FAC47A"/>
    <w:lvl w:ilvl="0" w:tplc="FBDA8950">
      <w:start w:val="1"/>
      <w:numFmt w:val="lowerLetter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C3698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232C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6E04C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EA618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60B8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A15E8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C21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5ADC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D2CB8"/>
    <w:multiLevelType w:val="hybridMultilevel"/>
    <w:tmpl w:val="83D062D8"/>
    <w:lvl w:ilvl="0" w:tplc="574EE6A0">
      <w:start w:val="6"/>
      <w:numFmt w:val="lowerLetter"/>
      <w:lvlText w:val="%1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E784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2A50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C75B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02EA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A58C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0CCB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82A2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28672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C0D8D"/>
    <w:multiLevelType w:val="hybridMultilevel"/>
    <w:tmpl w:val="F4480126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6229039C"/>
    <w:multiLevelType w:val="hybridMultilevel"/>
    <w:tmpl w:val="5FF24FEE"/>
    <w:lvl w:ilvl="0" w:tplc="AFEC728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932A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C0E1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AC02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48F00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63AA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60B6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0EB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E68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E42A8"/>
    <w:multiLevelType w:val="hybridMultilevel"/>
    <w:tmpl w:val="E79ABD42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7C7036F4"/>
    <w:multiLevelType w:val="hybridMultilevel"/>
    <w:tmpl w:val="509864A4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CA"/>
    <w:rsid w:val="00270AEE"/>
    <w:rsid w:val="004506F9"/>
    <w:rsid w:val="005D7BFB"/>
    <w:rsid w:val="006C6701"/>
    <w:rsid w:val="00773EB8"/>
    <w:rsid w:val="007E36CA"/>
    <w:rsid w:val="008F2F21"/>
    <w:rsid w:val="009C6D74"/>
    <w:rsid w:val="00D94D2E"/>
    <w:rsid w:val="00E76880"/>
    <w:rsid w:val="00F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CEEC"/>
  <w15:chartTrackingRefBased/>
  <w15:docId w15:val="{60621D1E-EAE7-46CB-9087-726AC8AC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6CA"/>
    <w:pPr>
      <w:spacing w:after="9" w:line="247" w:lineRule="auto"/>
      <w:ind w:left="1123" w:right="82" w:hanging="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36CA"/>
    <w:pPr>
      <w:spacing w:after="0" w:line="240" w:lineRule="auto"/>
      <w:ind w:left="1123" w:right="82" w:hanging="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37670"/>
    <w:pPr>
      <w:ind w:left="720"/>
      <w:contextualSpacing/>
    </w:pPr>
  </w:style>
  <w:style w:type="table" w:customStyle="1" w:styleId="TableGrid">
    <w:name w:val="TableGrid"/>
    <w:rsid w:val="00E7688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F21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6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Nevrla</dc:creator>
  <cp:keywords/>
  <dc:description/>
  <cp:lastModifiedBy>Hana Baierová</cp:lastModifiedBy>
  <cp:revision>8</cp:revision>
  <cp:lastPrinted>2018-05-23T09:24:00Z</cp:lastPrinted>
  <dcterms:created xsi:type="dcterms:W3CDTF">2018-05-18T12:01:00Z</dcterms:created>
  <dcterms:modified xsi:type="dcterms:W3CDTF">2018-11-12T13:10:00Z</dcterms:modified>
</cp:coreProperties>
</file>